
<file path=[Content_Types].xml><?xml version="1.0" encoding="utf-8"?>
<Types xmlns="http://schemas.openxmlformats.org/package/2006/content-types">
  <Default Extension="fntdata" ContentType="application/x-fontdata"/>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theme/theme1.xml" ContentType="application/vnd.openxmlformats-officedocument.theme+xml"/>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word/media/image_rId7_document.jpeg" ContentType="image/jpeg"/>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pacing w:before="0" w:after="0"/>
        <w:jc w:val="center"/>
        <w:rPr>
          <w:rFonts w:ascii="Times New Roman" w:hAnsi="Times New Roman" w:eastAsia="Times New Roman" w:cs="Times New Roman"/>
          <w:sz w:val="24"/>
          <w:szCs w:val="24"/>
          <w:lang w:eastAsia="ru-RU"/>
        </w:rPr>
      </w:pPr>
      <w:bookmarkStart w:id="0" w:name="_GoBack"/>
      <w:r>
        <w:rPr/>
        <w:drawing>
          <wp:inline distT="0" distB="0" distL="0" distR="0">
            <wp:extent cx="6569075" cy="853440"/>
            <wp:effectExtent l="0" t="0" r="0" b="0"/>
            <wp:docPr id="1"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3"/>
                    <pic:cNvPicPr>
                      <a:picLocks noChangeAspect="1" noChangeArrowheads="1"/>
                    </pic:cNvPicPr>
                  </pic:nvPicPr>
                  <pic:blipFill>
                    <a:blip r:embed="rId2"/>
                    <a:stretch>
                      <a:fillRect/>
                    </a:stretch>
                  </pic:blipFill>
                  <pic:spPr bwMode="auto">
                    <a:xfrm>
                      <a:off x="0" y="0"/>
                      <a:ext cx="6569075" cy="853440"/>
                    </a:xfrm>
                    <a:prstGeom prst="rect">
                      <a:avLst/>
                    </a:prstGeom>
                    <a:noFill/>
                  </pic:spPr>
                </pic:pic>
              </a:graphicData>
            </a:graphic>
          </wp:inline>
        </w:drawing>
      </w:r>
      <w:bookmarkEnd w:id="0"/>
    </w:p>
    <w:p>
      <w:pPr>
        <w:pStyle w:val="Header"/>
        <w:pBdr>
          <w:bottom w:val="single" w:sz="12" w:space="0" w:color="000000"/>
        </w:pBdr>
        <w:tabs>
          <w:tab w:val="clear" w:pos="8306"/>
          <w:tab w:val="right" w:pos="360" w:leader="none"/>
        </w:tabs>
        <w:jc w:val="both"/>
        <w:rPr>
          <w:rFonts w:ascii="Times New Roman" w:hAnsi="Times New Roman"/>
        </w:rPr>
      </w:pPr>
      <w:r>
        <w:rPr>
          <w:rFonts w:ascii="Times New Roman" w:hAnsi="Times New Roman"/>
        </w:rPr>
      </w:r>
    </w:p>
    <w:p>
      <w:pPr>
        <w:pStyle w:val="Normal"/>
        <w:rPr>
          <w:sz w:val="28"/>
          <w:szCs w:val="28"/>
          <w:lang w:val="en-US"/>
        </w:rPr>
      </w:pPr>
      <w:r>
        <w:rPr>
          <w:b/>
          <w:sz w:val="32"/>
          <w:szCs w:val="32"/>
        </w:rPr>
        <w:br/>
      </w:r>
    </w:p>
    <w:tbl>
      <w:tblPr>
        <w:tblStyle w:val="a9"/>
        <w:tblW w:w="10456" w:type="dxa"/>
        <w:jc w:val="start"/>
        <w:tblInd w:w="0" w:type="dxa"/>
        <w:tblLayout w:type="fixed"/>
        <w:tblCellMar>
          <w:top w:w="0" w:type="dxa"/>
          <w:start w:w="108" w:type="dxa"/>
          <w:bottom w:w="0" w:type="dxa"/>
          <w:end w:w="108" w:type="dxa"/>
        </w:tblCellMar>
        <w:tblLook w:val="04a0" w:firstRow="1" w:noVBand="1" w:lastRow="0" w:firstColumn="1" w:lastColumn="0" w:noHBand="0"/>
      </w:tblPr>
      <w:tblGrid>
        <w:gridCol w:w="5228"/>
        <w:gridCol w:w="5228"/>
      </w:tblGrid>
      <w:tr>
        <w:trPr/>
        <w:tc>
          <w:tcPr>
            <w:tcW w:w="5228" w:type="dxa"/>
            <w:tcBorders>
              <w:top w:val="nil"/>
              <w:start w:val="nil"/>
              <w:bottom w:val="nil"/>
              <w:end w:val="nil"/>
            </w:tcBorders>
          </w:tcPr>
          <w:p>
            <w:pPr>
              <w:pStyle w:val="Normal"/>
              <w:widowControl/>
              <w:suppressAutoHyphens w:val="true"/>
              <w:spacing w:lineRule="auto" w:line="240" w:before="0" w:after="0"/>
              <w:ind w:start="-105"/>
              <w:jc w:val="start"/>
              <w:rPr>
                <w:sz w:val="28"/>
                <w:szCs w:val="28"/>
                <w:lang w:val="en-US"/>
              </w:rPr>
            </w:pPr>
            <w:r>
              <w:rPr>
                <w:rFonts w:eastAsia="Calibri" w:cs=""/>
                <w:kern w:val="0"/>
                <w:sz w:val="28"/>
                <w:szCs w:val="28"/>
                <w:lang w:val="en-US" w:eastAsia="en-US" w:bidi="ar-SA"/>
              </w:rPr>
              <w:t>28 сентября 2026 г.</w:t>
            </w:r>
          </w:p>
        </w:tc>
        <w:tc>
          <w:tcPr>
            <w:tcW w:w="5228" w:type="dxa"/>
            <w:tcBorders>
              <w:top w:val="nil"/>
              <w:start w:val="nil"/>
              <w:bottom w:val="nil"/>
              <w:end w:val="nil"/>
            </w:tcBorders>
          </w:tcPr>
          <w:p>
            <w:pPr>
              <w:pStyle w:val="Normal"/>
              <w:widowControl/>
              <w:suppressAutoHyphens w:val="true"/>
              <w:spacing w:lineRule="auto" w:line="240" w:before="0" w:after="0"/>
              <w:jc w:val="end"/>
              <w:rPr>
                <w:sz w:val="28"/>
                <w:szCs w:val="28"/>
              </w:rPr>
            </w:pPr>
            <w:r>
              <w:rPr>
                <w:rFonts w:eastAsia="Calibri" w:cs=""/>
                <w:kern w:val="0"/>
                <w:sz w:val="28"/>
                <w:szCs w:val="28"/>
                <w:lang w:val="ru-RU" w:eastAsia="en-US" w:bidi="ar-SA"/>
              </w:rPr>
              <w:t>г. Москва</w:t>
            </w:r>
          </w:p>
        </w:tc>
      </w:tr>
    </w:tbl>
    <w:p>
      <w:pPr>
        <w:pStyle w:val="Normal"/>
        <w:rPr>
          <w:sz w:val="28"/>
          <w:szCs w:val="28"/>
        </w:rPr>
      </w:pPr>
      <w:r>
        <w:rPr>
          <w:sz w:val="28"/>
          <w:szCs w:val="28"/>
        </w:rPr>
        <w:br/>
      </w:r>
    </w:p>
    <w:p>
      <w:pPr>
        <w:pStyle w:val="Normal"/>
        <w:ind w:firstLine="360"/>
        <w:jc w:val="center"/>
        <w:rPr>
          <w:b/>
          <w:sz w:val="52"/>
          <w:szCs w:val="52"/>
          <w:lang w:val="en-US"/>
        </w:rPr>
      </w:pPr>
      <w:r>
        <w:rPr>
          <w:b/>
          <w:sz w:val="52"/>
          <w:szCs w:val="52"/>
        </w:rPr>
        <w:t>Коммерческое предложение</w:t>
        <w:br/>
      </w:r>
      <w:r>
        <w:rPr>
          <w:b/>
          <w:sz w:val="52"/>
          <w:szCs w:val="52"/>
        </w:rPr>
        <w:br/>
      </w:r>
      <w:r>
        <w:rPr>
          <w:b/>
          <w:sz w:val="28"/>
          <w:szCs w:val="28"/>
          <w:lang w:val="en-US"/>
        </w:rPr>
        <w:t>SECURIO AF100 (4x25)</w:t>
      </w:r>
    </w:p>
    <w:tbl>
      <w:tblPr>
        <w:tblStyle w:val="a9"/>
        <w:tblW w:w="10485" w:type="dxa"/>
        <w:jc w:val="start"/>
        <w:tblInd w:w="0" w:type="dxa"/>
        <w:tblLayout w:type="fixed"/>
        <w:tblCellMar>
          <w:top w:w="0" w:type="dxa"/>
          <w:start w:w="108" w:type="dxa"/>
          <w:bottom w:w="0" w:type="dxa"/>
          <w:end w:w="108" w:type="dxa"/>
        </w:tblCellMar>
        <w:tblLook w:val="04a0" w:firstRow="1" w:noVBand="1" w:lastRow="0" w:firstColumn="1" w:lastColumn="0" w:noHBand="0"/>
      </w:tblPr>
      <w:tblGrid>
        <w:gridCol w:w="6232"/>
        <w:gridCol w:w="4253"/>
      </w:tblGrid>
      <w:tr>
        <w:trPr>
          <w:trHeight w:val="1301" w:hRule="atLeast"/>
        </w:trPr>
        <w:tc>
          <w:tcPr>
            <w:tcW w:w="6232" w:type="dxa"/>
            <w:tcBorders/>
          </w:tcPr>
          <w:p>
            <w:pPr>
              <w:pStyle w:val="Normal"/>
              <w:widowControl/>
              <w:suppressAutoHyphens w:val="true"/>
              <w:spacing w:lineRule="auto" w:line="240" w:before="0" w:after="0"/>
              <w:jc w:val="center"/>
              <w:rPr>
                <w:lang w:val="en-US"/>
              </w:rPr>
            </w:pPr>
            <w:r>
              <w:rPr>
                <w:rFonts w:eastAsia="Calibri" w:cs=""/>
                <w:kern w:val="0"/>
                <w:sz w:val="22"/>
                <w:szCs w:val="22"/>
                <w:lang w:val="en-US" w:eastAsia="en-US" w:bidi="ar-SA"/>
              </w:rPr>
              <w:t/>
              <w:pict>
                <v:shape type="#_x0000_t75" style="width:10cm;height:10cm" stroked="f">
                  <v:imagedata r:id="rId7" o:title=""/>
                </v:shape>
              </w:pict>
              <w:t/>
            </w:r>
          </w:p>
        </w:tc>
        <w:tc>
          <w:tcPr>
            <w:tcW w:w="4253" w:type="dxa"/>
            <w:tcBorders/>
          </w:tcPr>
          <w:p>
            <w:pPr>
              <w:pStyle w:val="Normal"/>
              <w:widowControl/>
              <w:suppressAutoHyphens w:val="true"/>
              <w:spacing w:lineRule="auto" w:line="240" w:before="0" w:after="0"/>
              <w:jc w:val="center"/>
              <w:rPr>
                <w:b/>
                <w:sz w:val="24"/>
                <w:szCs w:val="24"/>
              </w:rPr>
            </w:pPr>
            <w:r>
              <w:rPr>
                <w:b/>
                <w:sz w:val="24"/>
                <w:szCs w:val="24"/>
              </w:rPr>
            </w:r>
          </w:p>
          <w:p>
            <w:pPr>
              <w:pStyle w:val="Normal"/>
              <w:widowControl/>
              <w:suppressAutoHyphens w:val="true"/>
              <w:spacing w:lineRule="auto" w:line="240" w:before="0" w:after="0"/>
              <w:jc w:val="start"/>
              <w:rPr>
                <w:rFonts w:ascii="Calibri" w:hAnsi="Calibri"/>
                <w:color w:val="000000"/>
                <w:shd w:fill="FFFFFF" w:val="clear"/>
                <w:lang w:val="en-US"/>
              </w:rPr>
            </w:pPr>
            <w:r>
              <w:rPr>
                <w:rFonts w:eastAsia="Calibri" w:cs=""/>
                <w:b/>
                <w:kern w:val="0"/>
                <w:sz w:val="24"/>
                <w:szCs w:val="24"/>
                <w:lang w:val="ru-RU" w:eastAsia="en-US" w:bidi="ar-SA"/>
              </w:rPr>
              <w:t>Описание:</w:t>
              <w:br/>
            </w:r>
            <w:r>
              <w:rPr>
                <w:rFonts w:eastAsia="Calibri" w:cs=""/>
                <w:color w:val="000000"/>
                <w:kern w:val="0"/>
                <w:sz w:val="24"/>
                <w:szCs w:val="24"/>
                <w:shd w:fill="FFFFFF" w:val="clear"/>
                <w:lang w:val="ru-RU" w:eastAsia="en-US" w:bidi="ar-SA"/>
              </w:rPr>
              <w:br/>
            </w:r>
            <w:r>
              <w:rPr>
                <w:rFonts w:eastAsia="Calibri" w:cs=""/>
                <w:color w:val="000000"/>
                <w:kern w:val="0"/>
                <w:sz w:val="22"/>
                <w:szCs w:val="22"/>
                <w:shd w:fill="FFFFFF" w:val="clear"/>
                <w:lang w:val="en-US" w:eastAsia="en-US" w:bidi="ar-SA"/>
              </w:rPr>
              <w:t>Офисный уничтожитель документов с автоподатчиком на 100 листов. 
Уровень  секретности P4 обеспечивает надежное уничтожение документов, содержащих важную финансовую информацию.
	позволяет экономить время на уничтожение документов больших объемов (автоподатчик на 100 листов)
	ширина загрузочного слота 225 мм
	уничтожает пластиковые карты и компакт диски из лотка ручной подачи
	оснащен технологией Nanogrip для равномерной подачи листов из автоподатчика
	одновременное уничтожение бумаги из лотка ручной подачи и автоподатчика
	интергрированная функция автопуска с фотоэлементом
	непрерывный режим работы
	нулевое потребление электроэнергии в режиме ожидания
</w:t>
            </w:r>
          </w:p>
          <w:p>
            <w:pPr>
              <w:pStyle w:val="Normal"/>
              <w:widowControl/>
              <w:suppressAutoHyphens w:val="true"/>
              <w:spacing w:lineRule="auto" w:line="240" w:before="0" w:after="0"/>
              <w:jc w:val="start"/>
              <w:rPr>
                <w:b/>
                <w:sz w:val="24"/>
                <w:szCs w:val="24"/>
                <w:lang w:val="en-US"/>
              </w:rPr>
            </w:pPr>
            <w:r>
              <w:rPr>
                <w:b/>
                <w:sz w:val="24"/>
                <w:szCs w:val="24"/>
                <w:lang w:val="en-US"/>
              </w:rPr>
            </w:r>
          </w:p>
        </w:tc>
      </w:tr>
    </w:tbl>
    <w:p>
      <w:pPr>
        <w:pStyle w:val="Normal"/>
        <w:rPr>
          <w:rFonts w:ascii="Calibri" w:hAnsi="Calibri"/>
          <w:color w:val="000000"/>
          <w:shd w:fill="FFFFFF" w:val="clear"/>
        </w:rPr>
      </w:pPr>
      <w:r>
        <w:rPr>
          <w:color w:val="000000"/>
          <w:shd w:fill="FFFFFF" w:val="clear"/>
        </w:rPr>
      </w:r>
    </w:p>
    <w:tbl>
      <w:tblPr>
        <w:tblStyle w:val="a9"/>
        <w:tblW w:w="10456" w:type="dxa"/>
        <w:jc w:val="start"/>
        <w:tblInd w:w="0" w:type="dxa"/>
        <w:tblLayout w:type="fixed"/>
        <w:tblCellMar>
          <w:top w:w="0" w:type="dxa"/>
          <w:start w:w="108" w:type="dxa"/>
          <w:bottom w:w="0" w:type="dxa"/>
          <w:end w:w="108" w:type="dxa"/>
        </w:tblCellMar>
        <w:tblLook w:val="04a0" w:firstRow="1" w:noVBand="1" w:lastRow="0" w:firstColumn="1" w:lastColumn="0" w:noHBand="0"/>
      </w:tblPr>
      <w:tblGrid>
        <w:gridCol w:w="5228"/>
        <w:gridCol w:w="5228"/>
      </w:tblGrid>
      <w:tr>
        <w:trPr/>
        <w:tc>
          <w:tcPr>
            <w:tcW w:w="5228" w:type="dxa"/>
            <w:tcBorders/>
          </w:tcPr>
          <w:p>
            <w:pPr>
              <w:pStyle w:val="Normal"/>
              <w:widowControl/>
              <w:suppressAutoHyphens w:val="true"/>
              <w:spacing w:lineRule="auto" w:line="240" w:before="0" w:after="0"/>
              <w:jc w:val="start"/>
              <w:rPr>
                <w:b/>
              </w:rPr>
            </w:pPr>
            <w:r>
              <w:rPr>
                <w:rFonts w:eastAsia="Calibri" w:cs=""/>
                <w:b/>
                <w:kern w:val="0"/>
                <w:sz w:val="22"/>
                <w:szCs w:val="22"/>
                <w:lang w:val="ru-RU" w:eastAsia="en-US" w:bidi="ar-SA"/>
              </w:rPr>
              <w:t>Параметры</w:t>
            </w:r>
          </w:p>
        </w:tc>
        <w:tc>
          <w:tcPr>
            <w:tcW w:w="5228" w:type="dxa"/>
            <w:tcBorders/>
          </w:tcPr>
          <w:p>
            <w:pPr>
              <w:pStyle w:val="Normal"/>
              <w:widowControl/>
              <w:suppressAutoHyphens w:val="true"/>
              <w:spacing w:lineRule="auto" w:line="240" w:before="0" w:after="0"/>
              <w:jc w:val="start"/>
              <w:rPr>
                <w:b/>
              </w:rPr>
            </w:pPr>
            <w:r>
              <w:rPr>
                <w:rFonts w:eastAsia="Calibri" w:cs=""/>
                <w:b/>
                <w:kern w:val="0"/>
                <w:sz w:val="22"/>
                <w:szCs w:val="22"/>
                <w:lang w:val="ru-RU" w:eastAsia="en-US" w:bidi="ar-SA"/>
              </w:rPr>
              <w:t>Значение</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Серия:</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Securio</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Тип:</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Персональные</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Тип резки:</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Перекрестный</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Размер частицы, мм:</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4x25</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Уровень секретности по DIN-32757:</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4</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Уровень секретности по DIN 66399:</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P-4</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Количество уничтожаемых листов 70 г/м:</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8</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Количество уничтожаемых листов 80 г/м:</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5-6</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Емкость корзины, л:</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25</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Скорость резки, мм/сек.:</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45</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Ширина входа, мм:</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225</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Мощность, Вт:</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300</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Уровень шума, Дб:</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56</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Реверс:</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Да</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Автоподатчик:</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Да</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Автоподача (кол-во листов):</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100</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Защита от перегрева:</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Да</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Система энергосбережения:</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Да</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Высота, мм:</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260</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Ширина, мм:</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375</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Глубина, мм:</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620</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Вес, кг:</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6,5</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Монолитные ножи:</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Да</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24 часа непрерывной работы:</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Да</w:t>
            </w:r>
          </w:p>
        </w:tc>
      </w:tr>
    </w:tbl>
    <w:p>
      <w:pPr>
        <w:pStyle w:val="Normal"/>
        <w:rPr>
          <w:rFonts w:ascii="Calibri" w:hAnsi="Calibri"/>
          <w:color w:val="000000"/>
          <w:shd w:fill="FFFFFF" w:val="clear"/>
        </w:rPr>
      </w:pPr>
      <w:r>
        <w:rPr>
          <w:color w:val="000000"/>
          <w:shd w:fill="FFFFFF" w:val="clear"/>
        </w:rPr>
      </w:r>
    </w:p>
    <w:p>
      <w:pPr>
        <w:pStyle w:val="Normal"/>
        <w:rPr>
          <w:bCs/>
          <w:sz w:val="24"/>
          <w:szCs w:val="24"/>
        </w:rPr>
      </w:pPr>
      <w:r>
        <w:rPr>
          <w:bCs/>
          <w:sz w:val="24"/>
          <w:szCs w:val="24"/>
        </w:rPr>
        <w:t xml:space="preserve">Фактические параметры товара могут  отличаться от заявленного производителем в технической документации как в большую, так и в меньшую сторону в пределах допустимой погрешности не более 10%. </w:t>
      </w:r>
    </w:p>
    <w:p>
      <w:pPr>
        <w:pStyle w:val="Normal"/>
        <w:rPr>
          <w:bCs/>
          <w:sz w:val="24"/>
          <w:szCs w:val="24"/>
        </w:rPr>
      </w:pPr>
      <w:r>
        <w:rPr>
          <w:bCs/>
          <w:sz w:val="24"/>
          <w:szCs w:val="24"/>
        </w:rPr>
        <w:t>Это в равной степени относится как к размеру частиц, так и к уровню шума, скорости и количеству уничтожаемых  листов. Данная погрешность является технологической нормой и не считается дефектом.</w:t>
      </w:r>
    </w:p>
    <w:p>
      <w:pPr>
        <w:pStyle w:val="Normal"/>
        <w:rPr>
          <w:bCs/>
          <w:sz w:val="24"/>
          <w:szCs w:val="24"/>
        </w:rPr>
      </w:pPr>
      <w:r>
        <w:rPr>
          <w:bCs/>
          <w:sz w:val="24"/>
          <w:szCs w:val="24"/>
        </w:rPr>
        <w:t>На изменение параметров может оказывать влияние плотность уничтожаемой бумаги и фактическое напряжение в сети.</w:t>
      </w:r>
    </w:p>
    <w:p>
      <w:pPr>
        <w:pStyle w:val="Normal"/>
        <w:rPr>
          <w:bCs/>
          <w:sz w:val="24"/>
          <w:szCs w:val="24"/>
        </w:rPr>
      </w:pPr>
      <w:r>
        <w:rPr>
          <w:bCs/>
          <w:sz w:val="24"/>
          <w:szCs w:val="24"/>
        </w:rPr>
      </w:r>
    </w:p>
    <w:p>
      <w:pPr>
        <w:pStyle w:val="Normal"/>
        <w:rPr>
          <w:bCs/>
          <w:sz w:val="24"/>
          <w:szCs w:val="24"/>
        </w:rPr>
      </w:pPr>
      <w:r>
        <w:rPr>
          <w:bCs/>
          <w:sz w:val="24"/>
          <w:szCs w:val="24"/>
        </w:rPr>
      </w:r>
    </w:p>
    <w:p>
      <w:pPr>
        <w:pStyle w:val="Normal"/>
        <w:rPr>
          <w:b/>
          <w:sz w:val="28"/>
          <w:szCs w:val="28"/>
        </w:rPr>
      </w:pPr>
      <w:r>
        <w:rPr>
          <w:b/>
          <w:sz w:val="28"/>
          <w:szCs w:val="28"/>
        </w:rPr>
        <w:t>Цена: 69 951 руб. 42 коп.</w:t>
        <w:br/>
      </w:r>
    </w:p>
    <w:p>
      <w:pPr>
        <w:pStyle w:val="Normal"/>
        <w:rPr/>
      </w:pPr>
      <w:r>
        <w:rPr/>
        <w:t>Гарантия:</w:t>
      </w:r>
    </w:p>
    <w:p>
      <w:pPr>
        <w:pStyle w:val="Normal"/>
        <w:rPr/>
      </w:pPr>
      <w:r>
        <w:rPr/>
        <w:t>Сроки поставки товара:</w:t>
      </w:r>
    </w:p>
    <w:p>
      <w:pPr>
        <w:pStyle w:val="Normal"/>
        <w:rPr/>
      </w:pPr>
      <w:r>
        <w:rPr/>
        <w:t>Срок действия ценового предложения:</w:t>
      </w:r>
    </w:p>
    <w:p>
      <w:pPr>
        <w:pStyle w:val="Normal"/>
        <w:rPr/>
      </w:pPr>
      <w:r>
        <w:rPr/>
      </w:r>
    </w:p>
    <w:p>
      <w:pPr>
        <w:pStyle w:val="Normal"/>
        <w:rPr>
          <w:b/>
          <w:sz w:val="28"/>
          <w:szCs w:val="28"/>
        </w:rPr>
      </w:pPr>
      <w:r>
        <w:rPr>
          <w:b/>
          <w:sz w:val="28"/>
          <w:szCs w:val="28"/>
        </w:rPr>
      </w:r>
    </w:p>
    <w:p>
      <w:pPr>
        <w:pStyle w:val="Normal"/>
        <w:rPr>
          <w:b/>
          <w:sz w:val="28"/>
          <w:szCs w:val="28"/>
        </w:rPr>
      </w:pPr>
      <w:r>
        <w:rPr>
          <w:b/>
          <w:sz w:val="28"/>
          <w:szCs w:val="28"/>
        </w:rPr>
      </w:r>
    </w:p>
    <w:p>
      <w:pPr>
        <w:pStyle w:val="Normal"/>
        <w:rPr>
          <w:b/>
          <w:sz w:val="28"/>
          <w:szCs w:val="28"/>
        </w:rPr>
      </w:pPr>
      <w:r>
        <w:rPr>
          <w:b/>
          <w:sz w:val="28"/>
          <w:szCs w:val="28"/>
        </w:rPr>
      </w:r>
    </w:p>
    <w:p>
      <w:pPr>
        <w:pStyle w:val="Normal"/>
        <w:rPr>
          <w:b/>
          <w:sz w:val="28"/>
          <w:szCs w:val="28"/>
        </w:rPr>
      </w:pPr>
      <w:r>
        <w:rPr>
          <w:b/>
          <w:sz w:val="28"/>
          <w:szCs w:val="28"/>
        </w:rPr>
      </w:r>
    </w:p>
    <w:p>
      <w:pPr>
        <w:pStyle w:val="Normal"/>
        <w:widowControl/>
        <w:bidi w:val="0"/>
        <w:spacing w:lineRule="auto" w:line="259" w:before="0" w:after="160"/>
        <w:jc w:val="start"/>
        <w:rPr/>
      </w:pPr>
      <w:r>
        <w:rPr/>
        <w:t>Генеральный директор                                                                  Миронов Б.Б.</w:t>
      </w:r>
    </w:p>
    <w:sectPr>
      <w:type w:val="nextPage"/>
      <w:pgSz w:w="11906" w:h="16838"/>
      <w:pgMar w:left="720" w:right="720" w:gutter="0" w:header="0" w:top="720" w:footer="0" w:bottom="72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cc" w:characterSet="windows-1251"/>
    <w:family w:val="roman"/>
    <w:pitch w:val="variable"/>
  </w:font>
  <w:font w:name="Calibri">
    <w:charset w:val="cc" w:characterSet="windows-1251"/>
    <w:family w:val="roman"/>
    <w:pitch w:val="variable"/>
  </w:font>
  <w:font w:name="Arial">
    <w:charset w:val="cc" w:characterSet="windows-1251"/>
    <w:family w:val="swiss"/>
    <w:pitch w:val="variable"/>
  </w:font>
  <w:font w:name="Segoe UI">
    <w:charset w:val="cc" w:characterSet="windows-1251"/>
    <w:family w:val="swiss"/>
    <w:pitch w:val="variable"/>
  </w:font>
  <w:font w:name="Liberation Sans">
    <w:altName w:val="Arial"/>
    <w:charset w:val="cc" w:characterSet="windows-1251"/>
    <w:family w:val="swiss"/>
    <w:pitch w:val="variable"/>
  </w:font>
  <w:font w:name="Times New Roman">
    <w:charset w:val="cc" w:characterSet="windows-1251"/>
    <w:family w:val="roman"/>
    <w:pitch w:val="variable"/>
  </w:font>
</w:fonts>
</file>

<file path=word/settings.xml><?xml version="1.0" encoding="utf-8"?>
<w:settings xmlns:w="http://schemas.openxmlformats.org/wordprocessingml/2006/main">
  <w:zoom w:percent="100"/>
  <w:defaultTabStop w:val="708"/>
  <w:autoHyphenation w:val="true"/>
  <w:hyphenationZone w:val="0"/>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ru-RU" w:eastAsia="en-US" w:bidi="ar-SA"/>
      </w:rPr>
    </w:rPrDefault>
    <w:pPrDefault>
      <w:pPr>
        <w:suppressAutoHyphens w:val="true"/>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uiPriority="0"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pPr>
      <w:widowControl/>
      <w:suppressAutoHyphens w:val="true"/>
      <w:bidi w:val="0"/>
      <w:spacing w:lineRule="auto" w:line="259" w:before="0" w:after="160"/>
      <w:jc w:val="start"/>
    </w:pPr>
    <w:rPr>
      <w:rFonts w:ascii="Calibri" w:hAnsi="Calibri" w:eastAsia="Calibri" w:cs="" w:asciiTheme="minorHAnsi" w:cstheme="minorBidi" w:eastAsiaTheme="minorHAnsi" w:hAnsiTheme="minorHAnsi"/>
      <w:color w:val="auto"/>
      <w:kern w:val="0"/>
      <w:sz w:val="22"/>
      <w:szCs w:val="22"/>
      <w:lang w:val="ru-RU" w:eastAsia="en-US" w:bidi="ar-SA"/>
    </w:rPr>
  </w:style>
  <w:style w:type="character" w:styleId="DefaultParagraphFont" w:default="1">
    <w:name w:val="Default Paragraph Font"/>
    <w:uiPriority w:val="1"/>
    <w:semiHidden/>
    <w:unhideWhenUsed/>
    <w:qFormat/>
    <w:rPr/>
  </w:style>
  <w:style w:type="character" w:styleId="Hyperlink">
    <w:name w:val="Hyperlink"/>
    <w:basedOn w:val="DefaultParagraphFont"/>
    <w:rsid w:val="00387e4f"/>
    <w:rPr>
      <w:strike w:val="false"/>
      <w:dstrike w:val="false"/>
      <w:color w:val="000093"/>
      <w:u w:val="none"/>
      <w:effect w:val="none"/>
    </w:rPr>
  </w:style>
  <w:style w:type="character" w:styleId="Style14" w:customStyle="1">
    <w:name w:val="Верхний колонтитул Знак"/>
    <w:basedOn w:val="DefaultParagraphFont"/>
    <w:qFormat/>
    <w:rsid w:val="00387e4f"/>
    <w:rPr>
      <w:rFonts w:ascii="Arial" w:hAnsi="Arial" w:eastAsia="Times New Roman" w:cs="Times New Roman"/>
      <w:sz w:val="20"/>
      <w:szCs w:val="20"/>
      <w:lang w:eastAsia="ru-RU"/>
    </w:rPr>
  </w:style>
  <w:style w:type="character" w:styleId="Strong">
    <w:name w:val="Strong"/>
    <w:basedOn w:val="DefaultParagraphFont"/>
    <w:uiPriority w:val="22"/>
    <w:qFormat/>
    <w:rsid w:val="00652d1c"/>
    <w:rPr>
      <w:b/>
      <w:bCs/>
    </w:rPr>
  </w:style>
  <w:style w:type="character" w:styleId="proptitle" w:customStyle="1">
    <w:name w:val="prop_title"/>
    <w:basedOn w:val="DefaultParagraphFont"/>
    <w:qFormat/>
    <w:rsid w:val="00394ca3"/>
    <w:rPr/>
  </w:style>
  <w:style w:type="character" w:styleId="propval" w:customStyle="1">
    <w:name w:val="prop_val"/>
    <w:basedOn w:val="DefaultParagraphFont"/>
    <w:qFormat/>
    <w:rsid w:val="00394ca3"/>
    <w:rPr/>
  </w:style>
  <w:style w:type="character" w:styleId="Style15" w:customStyle="1">
    <w:name w:val="Текст выноски Знак"/>
    <w:basedOn w:val="DefaultParagraphFont"/>
    <w:link w:val="BalloonText"/>
    <w:uiPriority w:val="99"/>
    <w:semiHidden/>
    <w:qFormat/>
    <w:rsid w:val="00d81170"/>
    <w:rPr>
      <w:rFonts w:ascii="Segoe UI" w:hAnsi="Segoe UI" w:cs="Segoe UI"/>
      <w:sz w:val="18"/>
      <w:szCs w:val="18"/>
    </w:rPr>
  </w:style>
  <w:style w:type="paragraph" w:styleId="Style16">
    <w:name w:val="Заголовок"/>
    <w:basedOn w:val="Normal"/>
    <w:next w:val="BodyText"/>
    <w:qFormat/>
    <w:pPr>
      <w:keepNext w:val="true"/>
      <w:spacing w:before="240" w:after="120"/>
    </w:pPr>
    <w:rPr>
      <w:rFonts w:ascii="Liberation Sans" w:hAnsi="Liberation Sans" w:eastAsia="Microsoft YaHei" w:cs="Arial"/>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Style17">
    <w:name w:val="Указатель"/>
    <w:basedOn w:val="Normal"/>
    <w:qFormat/>
    <w:pPr>
      <w:suppressLineNumbers/>
    </w:pPr>
    <w:rPr>
      <w:rFonts w:cs="Arial"/>
    </w:rPr>
  </w:style>
  <w:style w:type="paragraph" w:styleId="user">
    <w:name w:val="Заголовок (user)"/>
    <w:basedOn w:val="Normal"/>
    <w:next w:val="BodyText"/>
    <w:qFormat/>
    <w:pPr>
      <w:keepNext w:val="true"/>
      <w:spacing w:before="240" w:after="120"/>
    </w:pPr>
    <w:rPr>
      <w:rFonts w:ascii="Liberation Sans" w:hAnsi="Liberation Sans" w:eastAsia="Microsoft YaHei" w:cs="Arial"/>
      <w:sz w:val="28"/>
      <w:szCs w:val="28"/>
    </w:rPr>
  </w:style>
  <w:style w:type="paragraph" w:styleId="user1">
    <w:name w:val="Указатель (user)"/>
    <w:basedOn w:val="Normal"/>
    <w:qFormat/>
    <w:pPr>
      <w:suppressLineNumbers/>
    </w:pPr>
    <w:rPr>
      <w:rFonts w:cs="Arial"/>
    </w:rPr>
  </w:style>
  <w:style w:type="paragraph" w:styleId="NormalWeb">
    <w:name w:val="Normal (Web)"/>
    <w:basedOn w:val="Normal"/>
    <w:uiPriority w:val="99"/>
    <w:semiHidden/>
    <w:unhideWhenUsed/>
    <w:qFormat/>
    <w:rsid w:val="00534d53"/>
    <w:pPr>
      <w:spacing w:lineRule="auto" w:line="240" w:beforeAutospacing="1" w:afterAutospacing="1"/>
    </w:pPr>
    <w:rPr>
      <w:rFonts w:ascii="Times New Roman" w:hAnsi="Times New Roman" w:eastAsia="Times New Roman" w:cs="Times New Roman"/>
      <w:sz w:val="24"/>
      <w:szCs w:val="24"/>
      <w:lang w:eastAsia="ru-RU"/>
    </w:rPr>
  </w:style>
  <w:style w:type="paragraph" w:styleId="user2">
    <w:name w:val="Колонтитулы (user)"/>
    <w:basedOn w:val="Normal"/>
    <w:qFormat/>
    <w:pPr/>
    <w:rPr/>
  </w:style>
  <w:style w:type="paragraph" w:styleId="Style18">
    <w:name w:val="Колонтитулы"/>
    <w:basedOn w:val="Normal"/>
    <w:qFormat/>
    <w:pPr/>
    <w:rPr/>
  </w:style>
  <w:style w:type="paragraph" w:styleId="Header">
    <w:name w:val="header"/>
    <w:basedOn w:val="Normal"/>
    <w:link w:val="Style14"/>
    <w:rsid w:val="00387e4f"/>
    <w:pPr>
      <w:tabs>
        <w:tab w:val="clear" w:pos="708"/>
        <w:tab w:val="center" w:pos="4153" w:leader="none"/>
        <w:tab w:val="right" w:pos="8306" w:leader="none"/>
      </w:tabs>
      <w:spacing w:lineRule="auto" w:line="240" w:before="0" w:after="0"/>
    </w:pPr>
    <w:rPr>
      <w:rFonts w:ascii="Arial" w:hAnsi="Arial" w:eastAsia="Times New Roman" w:cs="Times New Roman"/>
      <w:sz w:val="20"/>
      <w:szCs w:val="20"/>
      <w:lang w:eastAsia="ru-RU"/>
    </w:rPr>
  </w:style>
  <w:style w:type="paragraph" w:styleId="ListParagraph">
    <w:name w:val="List Paragraph"/>
    <w:basedOn w:val="Normal"/>
    <w:uiPriority w:val="34"/>
    <w:qFormat/>
    <w:rsid w:val="00877b1c"/>
    <w:pPr>
      <w:spacing w:before="0" w:after="160"/>
      <w:ind w:start="720"/>
      <w:contextualSpacing/>
    </w:pPr>
    <w:rPr/>
  </w:style>
  <w:style w:type="paragraph" w:styleId="BalloonText">
    <w:name w:val="Balloon Text"/>
    <w:basedOn w:val="Normal"/>
    <w:link w:val="Style15"/>
    <w:uiPriority w:val="99"/>
    <w:semiHidden/>
    <w:unhideWhenUsed/>
    <w:qFormat/>
    <w:rsid w:val="00d81170"/>
    <w:pPr>
      <w:spacing w:lineRule="auto" w:line="240" w:before="0" w:after="0"/>
    </w:pPr>
    <w:rPr>
      <w:rFonts w:ascii="Segoe UI" w:hAnsi="Segoe UI" w:cs="Segoe UI"/>
      <w:sz w:val="18"/>
      <w:szCs w:val="18"/>
    </w:rPr>
  </w:style>
  <w:style w:type="numbering" w:styleId="user3" w:default="1">
    <w:name w:val="Без списка (user)"/>
    <w:uiPriority w:val="99"/>
    <w:semiHidden/>
    <w:unhideWhenUsed/>
    <w:qFormat/>
  </w:style>
  <w:style w:type="table" w:default="1" w:styleId="a1">
    <w:name w:val="Normal Table"/>
    <w:uiPriority w:val="99"/>
    <w:semiHidden/>
    <w:unhideWhenUsed/>
    <w:tblPr>
      <w:tblCellMar>
        <w:top w:w="0" w:type="dxa"/>
        <w:left w:w="108" w:type="dxa"/>
        <w:bottom w:w="0" w:type="dxa"/>
        <w:right w:w="108" w:type="dxa"/>
      </w:tblCellMar>
    </w:tblPr>
  </w:style>
  <w:style w:type="table" w:styleId="a9">
    <w:name w:val="Table Grid"/>
    <w:basedOn w:val="a1"/>
    <w:uiPriority w:val="39"/>
    <w:rsid w:val="00394ca3"/>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Relationship Id="rId6" Type="http://schemas.openxmlformats.org/officeDocument/2006/relationships/customXml" Target="../customXml/item1.xml"/>
<Relationship Id="rId7" Type="http://schemas.openxmlformats.org/officeDocument/2006/relationships/image" Target="media/image_rId7_document.jpeg"/></Relationships>
</file>

<file path=word/theme/theme1.xml><?xml version="1.0" encoding="utf-8"?>
<a:theme xmlns:a="http://schemas.openxmlformats.org/drawingml/2006/main" xmlns:r="http://schemas.openxmlformats.org/officeDocument/2006/relationships" name="Тема Office">
  <a:themeElements>
    <a:clrScheme name="Стандартная">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pitchFamily="0" charset="1"/>
        <a:ea typeface=""/>
        <a:cs typeface=""/>
      </a:majorFont>
      <a:minorFont>
        <a:latin typeface="Calibri" panose="020F0502020204030204"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F5E166-CF05-479B-A887-4EFF304D7E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1702</TotalTime>
  <Application>LibreOffice/26.2.5.2$Windows_X86_64 LibreOffice_project/cd7284b4cbbfeb507e630c1aac019f4157393acb</Application>
  <AppVersion>15.0000</AppVersion>
  <Pages>2</Pages>
  <Words>95</Words>
  <Characters>649</Characters>
  <CharactersWithSpaces>800</CharactersWithSpaces>
  <Paragraphs>20</Paragraphs>
  <Company>qwe</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2021-03-23T13:54:00Z</dcterms:created>
  <dc:creator>Сухова Лариса</dc:creator>
  <dc:description/>
  <dc:language>en-US</dc:language>
  <cp:lastModifiedBy/>
  <cp:lastPrinted>2019-09-26T08:33:00Z</cp:lastPrinted>
  <dcterms:modified xsi:type="dcterms:W3CDTF">2026-08-25T14:45:41Z</dcterms:modified>
  <cp:revision>14</cp:revision>
  <dc:subject/>
  <dc:title/>
</cp:coreProperties>
</file>

<file path=docProps/custom.xml><?xml version="1.0" encoding="utf-8"?>
<Properties xmlns="http://schemas.openxmlformats.org/officeDocument/2006/custom-properties" xmlns:vt="http://schemas.openxmlformats.org/officeDocument/2006/docPropsVTypes"/>
</file>