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<w:body><w:p><w:pPr><w:pStyle w:val="Normal"/><w:spacing w:before="0" w:after="0"/><w:jc w:val="center"/><w:rPr><w:rFonts w:ascii="Times New Roman" w:hAnsi="Times New Roman" w:eastAsia="Times New Roman" w:cs="Times New Roman"/><w:sz w:val="24"/><w:szCs w:val="24"/><w:lang w:eastAsia="ru-RU"/></w:rPr></w:pPr><w:bookmarkStart w:id="0" w:name="_GoBack"/><w:r><w:rPr></w:rPr><w:drawing><wp:inline distT="0" distB="0" distL="0" distR="0"><wp:extent cx="6569075" cy="853440"/><wp:effectExtent l="0" t="0" r="0" b="0"/><wp:docPr id="1" name="Рисунок 3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Рисунок 3"></pic:cNvPr><pic:cNvPicPr><a:picLocks noChangeAspect="1" noChangeArrowheads="1"/></pic:cNvPicPr></pic:nvPicPr><pic:blipFill><a:blip r:embed="rId2"></a:blip><a:stretch><a:fillRect/></a:stretch></pic:blipFill><pic:spPr bwMode="auto"><a:xfrm><a:off x="0" y="0"/><a:ext cx="6569075" cy="853440"/></a:xfrm><a:prstGeom prst="rect"><a:avLst/></a:prstGeom><a:noFill/></pic:spPr></pic:pic></a:graphicData></a:graphic></wp:inline></w:drawing></w:r><w:bookmarkEnd w:id="0"/></w:p><w:p><w:pPr><w:pStyle w:val="Header"/><w:pBdr><w:bottom w:val="single" w:sz="12" w:space="0" w:color="000000"/></w:pBdr><w:tabs><w:tab w:val="clear" w:pos="8306"/><w:tab w:val="right" w:pos="360" w:leader="none"/></w:tabs><w:jc w:val="both"/><w:rPr><w:rFonts w:ascii="Times New Roman" w:hAnsi="Times New Roman"/></w:rPr></w:pPr><w:r><w:rPr><w:rFonts w:ascii="Times New Roman" w:hAnsi="Times New Roman"/></w:rPr></w:r></w:p><w:p><w:pPr><w:pStyle w:val="Normal"/><w:rPr><w:sz w:val="28"/><w:szCs w:val="28"/><w:lang w:val="en-US"/></w:rPr></w:pPr><w:r><w:rPr><w:b/><w:sz w:val="32"/><w:szCs w:val="32"/></w:rPr><w:br/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ind w:start="-105"/><w:jc w:val="start"/><w:rPr><w:sz w:val="28"/><w:szCs w:val="28"/><w:lang w:val="en-US"/></w:rPr></w:pPr><w:r><w:rPr><w:rFonts w:eastAsia="Calibri" w:cs=""/><w:kern w:val="0"/><w:sz w:val="28"/><w:szCs w:val="28"/><w:lang w:val="en-US" w:eastAsia="en-US" w:bidi="ar-SA"/></w:rPr><w:t>4 ноября 2026 г.</w:t></w:r></w:p></w:tc><w:tc><w:tcPr><w:tcW w:w="5228" w:type="dxa"/><w:tcBorders><w:top w:val="nil"/><w:start w:val="nil"/><w:bottom w:val="nil"/><w:end w:val="nil"/></w:tcBorders></w:tcPr><w:p><w:pPr><w:pStyle w:val="Normal"/><w:widowControl/><w:suppressAutoHyphens w:val="true"/><w:spacing w:lineRule="auto" w:line="240" w:before="0" w:after="0"/><w:jc w:val="end"/><w:rPr><w:sz w:val="28"/><w:szCs w:val="28"/></w:rPr></w:pPr><w:r><w:rPr><w:rFonts w:eastAsia="Calibri" w:cs=""/><w:kern w:val="0"/><w:sz w:val="28"/><w:szCs w:val="28"/><w:lang w:val="ru-RU" w:eastAsia="en-US" w:bidi="ar-SA"/></w:rPr><w:t>г. Москва</w:t></w:r></w:p></w:tc></w:tr></w:tbl><w:p><w:pPr><w:pStyle w:val="Normal"/><w:rPr><w:sz w:val="28"/><w:szCs w:val="28"/></w:rPr></w:pPr><w:r><w:rPr><w:sz w:val="28"/><w:szCs w:val="28"/></w:rPr><w:br/></w:r></w:p><w:p><w:pPr><w:pStyle w:val="Normal"/><w:ind w:firstLine="360"/><w:jc w:val="center"/><w:rPr><w:b/><w:sz w:val="52"/><w:szCs w:val="52"/><w:lang w:val="en-US"/></w:rPr></w:pPr><w:r><w:rPr><w:b/><w:sz w:val="52"/><w:szCs w:val="52"/></w:rPr><w:t>Коммерческое предложение</w:t><w:br/></w:r><w:r><w:rPr><w:b/><w:sz w:val="52"/><w:szCs w:val="52"/></w:rPr><w:br/></w:r><w:r><w:rPr><w:b/><w:sz w:val="28"/><w:szCs w:val="28"/><w:lang w:val="en-US"/></w:rPr><w:t>Inline 500</w:t></w:r></w:p><w:tbl><w:tblPr><w:tblStyle w:val="a9"/><w:tblW w:w="10485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6232"/><w:gridCol w:w="4253"/></w:tblGrid><w:tr><w:trPr><w:trHeight w:val="1301" w:hRule="atLeast"/></w:trPr><w:tc><w:tcPr><w:tcW w:w="6232" w:type="dxa"/><w:tcBorders></w:tcBorders></w:tcPr><w:p><w:pPr><w:pStyle w:val="Normal"/><w:widowControl/><w:suppressAutoHyphens w:val="true"/><w:spacing w:lineRule="auto" w:line="240" w:before="0" w:after="0"/><w:jc w:val="center"/><w:rPr><w:lang w:val="en-US"/></w:rPr></w:pPr><w:r><w:rPr><w:rFonts w:eastAsia="Calibri" w:cs=""/><w:kern w:val="0"/><w:sz w:val="22"/><w:szCs w:val="22"/><w:lang w:val="en-US" w:eastAsia="en-US" w:bidi="ar-SA"/></w:rPr><w:t></w:t><w:pict><v:shape type="#_x0000_t75" style="width:10cm;height:10cm" stroked="f"><v:imagedata r:id="rId7" o:title=""/></v:shape></w:pict><w:t></w:t></w:r></w:p></w:tc><w:tc><w:tcPr><w:tcW w:w="4253" w:type="dxa"/><w:tcBorders></w:tcBorders></w:tcPr><w:p><w:pPr><w:pStyle w:val="Normal"/><w:widowControl/><w:suppressAutoHyphens w:val="true"/><w:spacing w:lineRule="auto" w:line="240" w:before="0" w:after="0"/><w:jc w:val="center"/><w:rPr><w:b/><w:sz w:val="24"/><w:szCs w:val="24"/></w:rPr></w:pPr><w:r><w:rPr><w:b/><w:sz w:val="24"/><w:szCs w:val="24"/></w:rPr></w:r></w:p><w:p><w:pPr><w:pStyle w:val="Normal"/><w:widowControl/><w:suppressAutoHyphens w:val="true"/><w:spacing w:lineRule="auto" w:line="240" w:before="0" w:after="0"/><w:jc w:val="start"/><w:rPr><w:rFonts w:ascii="Calibri" w:hAnsi="Calibri"/><w:color w:val="000000"/><w:shd w:fill="FFFFFF" w:val="clear"/><w:lang w:val="en-US"/></w:rPr></w:pPr><w:r><w:rPr><w:rFonts w:eastAsia="Calibri" w:cs=""/><w:b/><w:kern w:val="0"/><w:sz w:val="24"/><w:szCs w:val="24"/><w:lang w:val="ru-RU" w:eastAsia="en-US" w:bidi="ar-SA"/></w:rPr><w:t>Описание:</w:t><w:br/></w:r><w:r><w:rPr><w:rFonts w:eastAsia="Calibri" w:cs=""/><w:color w:val="000000"/><w:kern w:val="0"/><w:sz w:val="24"/><w:szCs w:val="24"/><w:shd w:fill="FFFFFF" w:val="clear"/><w:lang w:val="ru-RU" w:eastAsia="en-US" w:bidi="ar-SA"/></w:rPr><w:br/></w:r><w:r><w:rPr><w:rFonts w:eastAsia="Calibri" w:cs=""/><w:color w:val="000000"/><w:kern w:val="0"/><w:sz w:val="22"/><w:szCs w:val="22"/><w:shd w:fill="FFFFFF" w:val="clear"/><w:lang w:val="en-US" w:eastAsia="en-US" w:bidi="ar-SA"/></w:rPr><w:t>Высокоскоростная перфорационно-переплетная линия INLINE 500, состоящая из перфорирующего модуля ASM 500 и переплетного модуля ABL 500,соедененных транспортером, с возможностью работы с пружиной диаметром 3/16 "-1", с шагом 3:1 и 2:1, с автоматической настройкой через ЖК дисплей. Для удобства работ с часто повторяющимися заказами - линия имеет рабочую память для 50 работ различных форматов.</w:t></w:r></w:p><w:p><w:pPr><w:pStyle w:val="Normal"/><w:widowControl/><w:suppressAutoHyphens w:val="true"/><w:spacing w:lineRule="auto" w:line="240" w:before="0" w:after="0"/><w:jc w:val="start"/><w:rPr><w:b/><w:sz w:val="24"/><w:szCs w:val="24"/><w:lang w:val="en-US"/></w:rPr></w:pPr><w:r><w:rPr><w:b/><w:sz w:val="24"/><w:szCs w:val="24"/><w:lang w:val="en-US"/></w:rPr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tbl><w:tblPr><w:tblStyle w:val="a9"/><w:tblW w:w="10456" w:type="dxa"/><w:jc w:val="start"/><w:tblInd w:w="0" w:type="dxa"/><w:tblLayout w:type="fixed"/><w:tblCellMar><w:top w:w="0" w:type="dxa"/><w:start w:w="108" w:type="dxa"/><w:bottom w:w="0" w:type="dxa"/><w:end w:w="108" w:type="dxa"/></w:tblCellMar><w:tblLook w:val="04a0" w:firstRow="1" w:noVBand="1" w:lastRow="0" w:firstColumn="1" w:lastColumn="0" w:noHBand="0"/></w:tblPr><w:tblGrid><w:gridCol w:w="5228"/><w:gridCol w:w="5228"/></w:tblGrid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Параметры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/w:rPr></w:pPr><w:r><w:rPr><w:rFonts w:eastAsia="Calibri" w:cs=""/><w:b/><w:kern w:val="0"/><w:sz w:val="22"/><w:szCs w:val="22"/><w:lang w:val="ru-RU" w:eastAsia="en-US" w:bidi="ar-SA"/></w:rPr><w:t>Значение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Рабочая ширина переплета, max (мм):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500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Максимальный формат переплета, мм: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500 (520) х 700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Минимальный формат переплета, мм: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70х90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Перфорация листов (70г/м2)::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до 4 мм (40 листов)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Максимальная толщина переплета, мм: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Производительность (переплетов / час):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до 1900-2100 (в зависимости от вида продукта, логистики и оператора)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Возможный диаметр проволоки: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3/16 - 1 дюйм (5,5 - 25,4 мм)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Шаг: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4:1, 3:1, 2:1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Время, необходимое для замены диаметра пружины, мин: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2-30 минут (в зависимости от диаметра)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Время, необходимое для замены формата, мин: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5-10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Автоматическая опция для вставки ригеля: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KAS 300 IL, формирование ригеля из прямой проволоки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Дополнительные опции: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<br>Опция переворачивания верхнего листа после переплетной секции DBW 500 (инсталлированный  воздушный компрессор)</br><br> Перекрестная сортировка готовой продукции (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Габариты (ШхГхВ), мм: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5800х1900х2300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Занимаемая площадь, м2: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15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Вес, кг: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2400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Электропитание: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230 В, 50/60 Гц</w:t></w:r></w:p></w:tc></w:tr><w:tr><w:trPr></w:trPr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Style w:val="proptitle"/><w:rFonts w:eastAsia="Calibri" w:cs=""/><w:color w:val="000000"/><w:kern w:val="0"/><w:sz w:val="22"/><w:szCs w:val="22"/><w:lang w:val="ru-RU" w:eastAsia="en-US" w:bidi="ar-SA"/></w:rPr><w:t>Необходимость в компрессоре:</w:t></w:r></w:p></w:tc><w:tc><w:tcPr><w:tcW w:w="5228" w:type="dxa"/><w:tcBorders></w:tcBorders></w:tcPr><w:p><w:pPr><w:pStyle w:val="Normal"/><w:widowControl/><w:suppressAutoHyphens w:val="true"/><w:spacing w:lineRule="auto" w:line="240" w:before="0" w:after="0"/><w:jc w:val="start"/><w:rPr><w:b/><w:lang w:val="en-US"/></w:rPr></w:pPr><w:r><w:rPr><w:rFonts w:eastAsia="Times New Roman" w:cs="Times New Roman"/><w:kern w:val="0"/><w:sz w:val="22"/><w:szCs w:val="22"/><w:lang w:val="en-US" w:eastAsia="ru-RU" w:bidi="ar-SA"/></w:rPr><w:t>есть: 7,5 бар, 450 - 500 л / мин</w:t></w:r></w:p></w:tc></w:tr></w:tbl><w:p><w:pPr><w:pStyle w:val="Normal"/><w:rPr><w:rFonts w:ascii="Calibri" w:hAnsi="Calibri"/><w:color w:val="000000"/><w:shd w:fill="FFFFFF" w:val="clear"/></w:rPr></w:pPr><w:r><w:rPr><w:color w:val="000000"/><w:shd w:fill="FFFFFF" w:val="clear"/></w:rPr></w:r></w:p><w:p><w:pPr><w:pStyle w:val="Normal"/><w:rPr><w:bCs/><w:sz w:val="24"/><w:szCs w:val="24"/></w:rPr></w:pPr><w:r><w:rPr><w:bCs/><w:sz w:val="24"/><w:szCs w:val="24"/></w:rPr>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</w:r></w:p><w:p><w:pPr><w:pStyle w:val="Normal"/><w:rPr><w:bCs/><w:sz w:val="24"/><w:szCs w:val="24"/></w:rPr></w:pPr><w:r><w:rPr><w:bCs/><w:sz w:val="24"/><w:szCs w:val="24"/></w:rPr>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</w:r></w:p><w:p><w:pPr><w:pStyle w:val="Normal"/><w:rPr><w:bCs/><w:sz w:val="24"/><w:szCs w:val="24"/></w:rPr></w:pPr><w:r><w:rPr><w:bCs/><w:sz w:val="24"/><w:szCs w:val="24"/></w:rPr><w:t>На изменение параметров может оказывать влияние плотность уничтожаемой бумаги и фактическое напряжение в сети.</w:t></w:r></w:p><w:p><w:pPr><w:pStyle w:val="Normal"/><w:rPr><w:bCs/><w:sz w:val="24"/><w:szCs w:val="24"/></w:rPr></w:pPr><w:r><w:rPr><w:bCs/><w:sz w:val="24"/><w:szCs w:val="24"/></w:rPr></w:r></w:p><w:p><w:pPr><w:pStyle w:val="Normal"/><w:rPr><w:bCs/><w:sz w:val="24"/><w:szCs w:val="24"/></w:rPr></w:pPr><w:r><w:rPr><w:bCs/><w:sz w:val="24"/><w:szCs w:val="24"/></w:rPr></w:r></w:p><w:p><w:pPr><w:pStyle w:val="Normal"/><w:rPr><w:b/><w:sz w:val="28"/><w:szCs w:val="28"/></w:rPr></w:pPr><w:r><w:rPr><w:b/><w:sz w:val="28"/><w:szCs w:val="28"/></w:rPr><w:t>Цена: </w:t><w:br/></w:r></w:p><w:p><w:pPr><w:pStyle w:val="Normal"/><w:rPr></w:rPr></w:pPr><w:r><w:rPr></w:rPr><w:t>Гарантия:</w:t></w:r></w:p><w:p><w:pPr><w:pStyle w:val="Normal"/><w:rPr></w:rPr></w:pPr><w:r><w:rPr></w:rPr><w:t>Сроки поставки товара:</w:t></w:r></w:p><w:p><w:pPr><w:pStyle w:val="Normal"/><w:rPr></w:rPr></w:pPr><w:r><w:rPr></w:rPr><w:t>Срок действия ценового предложения:</w:t></w:r></w:p><w:p><w:pPr><w:pStyle w:val="Normal"/><w:rPr></w:rPr></w:pPr><w:r><w:rPr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rPr><w:b/><w:sz w:val="28"/><w:szCs w:val="28"/></w:rPr></w:pPr><w:r><w:rPr><w:b/><w:sz w:val="28"/><w:szCs w:val="28"/></w:rPr></w:r></w:p><w:p><w:pPr><w:pStyle w:val="Normal"/><w:widowControl/><w:bidi w:val="0"/><w:spacing w:lineRule="auto" w:line="259" w:before="0" w:after="160"/><w:jc w:val="start"/><w:rPr></w:rPr></w:pPr><w:r><w:rPr></w:rPr><w:t>Генеральный директор                                                                  Миронов Б.Б.</w:t></w:r></w:p><w:sectPr><w:type w:val="nextPage"/><w:pgSz w:w="11906" w:h="16838"/><w:pgMar w:left="720" w:right="720" w:gutter="0" w:header="0" w:top="720" w:footer="0" w:bottom="720"/><w:pgNumType w:fmt="decimal"/><w:formProt w:val="false"/><w:textDirection w:val="lrTb"/><w:docGrid w:type="default" w:linePitch="36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