
<file path=[Content_Types].xml><?xml version="1.0" encoding="utf-8"?>
<Types xmlns="http://schemas.openxmlformats.org/package/2006/content-types">
  <Default Extension="fntdata" ContentType="application/x-fontdata"/>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theme/theme1.xml" ContentType="application/vnd.openxmlformats-officedocument.theme+xml"/>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word/media/image_rId7_document.jpeg" ContentType="image/jpeg"/>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spacing w:before="0" w:after="0"/>
        <w:jc w:val="center"/>
        <w:rPr>
          <w:rFonts w:ascii="Times New Roman" w:hAnsi="Times New Roman" w:eastAsia="Times New Roman" w:cs="Times New Roman"/>
          <w:sz w:val="24"/>
          <w:szCs w:val="24"/>
          <w:lang w:eastAsia="ru-RU"/>
        </w:rPr>
      </w:pPr>
      <w:bookmarkStart w:id="0" w:name="_GoBack"/>
      <w:r>
        <w:rPr/>
        <w:drawing>
          <wp:inline distT="0" distB="0" distL="0" distR="0">
            <wp:extent cx="6569075" cy="853440"/>
            <wp:effectExtent l="0" t="0" r="0" b="0"/>
            <wp:docPr id="1"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3"/>
                    <pic:cNvPicPr>
                      <a:picLocks noChangeAspect="1" noChangeArrowheads="1"/>
                    </pic:cNvPicPr>
                  </pic:nvPicPr>
                  <pic:blipFill>
                    <a:blip r:embed="rId2"/>
                    <a:stretch>
                      <a:fillRect/>
                    </a:stretch>
                  </pic:blipFill>
                  <pic:spPr bwMode="auto">
                    <a:xfrm>
                      <a:off x="0" y="0"/>
                      <a:ext cx="6569075" cy="853440"/>
                    </a:xfrm>
                    <a:prstGeom prst="rect">
                      <a:avLst/>
                    </a:prstGeom>
                    <a:noFill/>
                  </pic:spPr>
                </pic:pic>
              </a:graphicData>
            </a:graphic>
          </wp:inline>
        </w:drawing>
      </w:r>
      <w:bookmarkEnd w:id="0"/>
    </w:p>
    <w:p>
      <w:pPr>
        <w:pStyle w:val="Header"/>
        <w:pBdr>
          <w:bottom w:val="single" w:sz="12" w:space="0" w:color="000000"/>
        </w:pBdr>
        <w:tabs>
          <w:tab w:val="clear" w:pos="8306"/>
          <w:tab w:val="right" w:pos="360" w:leader="none"/>
        </w:tabs>
        <w:jc w:val="both"/>
        <w:rPr>
          <w:rFonts w:ascii="Times New Roman" w:hAnsi="Times New Roman"/>
        </w:rPr>
      </w:pPr>
      <w:r>
        <w:rPr>
          <w:rFonts w:ascii="Times New Roman" w:hAnsi="Times New Roman"/>
        </w:rPr>
      </w:r>
    </w:p>
    <w:p>
      <w:pPr>
        <w:pStyle w:val="Normal"/>
        <w:rPr>
          <w:sz w:val="28"/>
          <w:szCs w:val="28"/>
          <w:lang w:val="en-US"/>
        </w:rPr>
      </w:pPr>
      <w:r>
        <w:rPr>
          <w:b/>
          <w:sz w:val="32"/>
          <w:szCs w:val="32"/>
        </w:rPr>
        <w:br/>
      </w:r>
    </w:p>
    <w:tbl>
      <w:tblPr>
        <w:tblStyle w:val="a9"/>
        <w:tblW w:w="10456" w:type="dxa"/>
        <w:jc w:val="start"/>
        <w:tblInd w:w="0" w:type="dxa"/>
        <w:tblLayout w:type="fixed"/>
        <w:tblCellMar>
          <w:top w:w="0" w:type="dxa"/>
          <w:start w:w="108" w:type="dxa"/>
          <w:bottom w:w="0" w:type="dxa"/>
          <w:end w:w="108" w:type="dxa"/>
        </w:tblCellMar>
        <w:tblLook w:val="04a0" w:firstRow="1" w:noVBand="1" w:lastRow="0" w:firstColumn="1" w:lastColumn="0" w:noHBand="0"/>
      </w:tblPr>
      <w:tblGrid>
        <w:gridCol w:w="5228"/>
        <w:gridCol w:w="5228"/>
      </w:tblGrid>
      <w:tr>
        <w:trPr/>
        <w:tc>
          <w:tcPr>
            <w:tcW w:w="5228" w:type="dxa"/>
            <w:tcBorders>
              <w:top w:val="nil"/>
              <w:start w:val="nil"/>
              <w:bottom w:val="nil"/>
              <w:end w:val="nil"/>
            </w:tcBorders>
          </w:tcPr>
          <w:p>
            <w:pPr>
              <w:pStyle w:val="Normal"/>
              <w:widowControl/>
              <w:suppressAutoHyphens w:val="true"/>
              <w:spacing w:lineRule="auto" w:line="240" w:before="0" w:after="0"/>
              <w:ind w:start="-105"/>
              <w:jc w:val="start"/>
              <w:rPr>
                <w:sz w:val="28"/>
                <w:szCs w:val="28"/>
                <w:lang w:val="en-US"/>
              </w:rPr>
            </w:pPr>
            <w:r>
              <w:rPr>
                <w:rFonts w:eastAsia="Calibri" w:cs=""/>
                <w:kern w:val="0"/>
                <w:sz w:val="28"/>
                <w:szCs w:val="28"/>
                <w:lang w:val="en-US" w:eastAsia="en-US" w:bidi="ar-SA"/>
              </w:rPr>
              <w:t>15 сентября 2026 г.</w:t>
            </w:r>
          </w:p>
        </w:tc>
        <w:tc>
          <w:tcPr>
            <w:tcW w:w="5228" w:type="dxa"/>
            <w:tcBorders>
              <w:top w:val="nil"/>
              <w:start w:val="nil"/>
              <w:bottom w:val="nil"/>
              <w:end w:val="nil"/>
            </w:tcBorders>
          </w:tcPr>
          <w:p>
            <w:pPr>
              <w:pStyle w:val="Normal"/>
              <w:widowControl/>
              <w:suppressAutoHyphens w:val="true"/>
              <w:spacing w:lineRule="auto" w:line="240" w:before="0" w:after="0"/>
              <w:jc w:val="end"/>
              <w:rPr>
                <w:sz w:val="28"/>
                <w:szCs w:val="28"/>
              </w:rPr>
            </w:pPr>
            <w:r>
              <w:rPr>
                <w:rFonts w:eastAsia="Calibri" w:cs=""/>
                <w:kern w:val="0"/>
                <w:sz w:val="28"/>
                <w:szCs w:val="28"/>
                <w:lang w:val="ru-RU" w:eastAsia="en-US" w:bidi="ar-SA"/>
              </w:rPr>
              <w:t>г. Москва</w:t>
            </w:r>
          </w:p>
        </w:tc>
      </w:tr>
    </w:tbl>
    <w:p>
      <w:pPr>
        <w:pStyle w:val="Normal"/>
        <w:rPr>
          <w:sz w:val="28"/>
          <w:szCs w:val="28"/>
        </w:rPr>
      </w:pPr>
      <w:r>
        <w:rPr>
          <w:sz w:val="28"/>
          <w:szCs w:val="28"/>
        </w:rPr>
        <w:br/>
      </w:r>
    </w:p>
    <w:p>
      <w:pPr>
        <w:pStyle w:val="Normal"/>
        <w:ind w:firstLine="360"/>
        <w:jc w:val="center"/>
        <w:rPr>
          <w:b/>
          <w:sz w:val="52"/>
          <w:szCs w:val="52"/>
          <w:lang w:val="en-US"/>
        </w:rPr>
      </w:pPr>
      <w:r>
        <w:rPr>
          <w:b/>
          <w:sz w:val="52"/>
          <w:szCs w:val="52"/>
        </w:rPr>
        <w:t>Коммерческое предложение</w:t>
        <w:br/>
      </w:r>
      <w:r>
        <w:rPr>
          <w:b/>
          <w:sz w:val="52"/>
          <w:szCs w:val="52"/>
        </w:rPr>
        <w:br/>
      </w:r>
      <w:r>
        <w:rPr>
          <w:b/>
          <w:sz w:val="28"/>
          <w:szCs w:val="28"/>
          <w:lang w:val="en-US"/>
        </w:rPr>
        <w:t>Office Kit COMBi</w:t>
      </w:r>
    </w:p>
    <w:tbl>
      <w:tblPr>
        <w:tblStyle w:val="a9"/>
        <w:tblW w:w="10485" w:type="dxa"/>
        <w:jc w:val="start"/>
        <w:tblInd w:w="0" w:type="dxa"/>
        <w:tblLayout w:type="fixed"/>
        <w:tblCellMar>
          <w:top w:w="0" w:type="dxa"/>
          <w:start w:w="108" w:type="dxa"/>
          <w:bottom w:w="0" w:type="dxa"/>
          <w:end w:w="108" w:type="dxa"/>
        </w:tblCellMar>
        <w:tblLook w:val="04a0" w:firstRow="1" w:noVBand="1" w:lastRow="0" w:firstColumn="1" w:lastColumn="0" w:noHBand="0"/>
      </w:tblPr>
      <w:tblGrid>
        <w:gridCol w:w="6232"/>
        <w:gridCol w:w="4253"/>
      </w:tblGrid>
      <w:tr>
        <w:trPr>
          <w:trHeight w:val="1301" w:hRule="atLeast"/>
        </w:trPr>
        <w:tc>
          <w:tcPr>
            <w:tcW w:w="6232" w:type="dxa"/>
            <w:tcBorders/>
          </w:tcPr>
          <w:p>
            <w:pPr>
              <w:pStyle w:val="Normal"/>
              <w:widowControl/>
              <w:suppressAutoHyphens w:val="true"/>
              <w:spacing w:lineRule="auto" w:line="240" w:before="0" w:after="0"/>
              <w:jc w:val="center"/>
              <w:rPr>
                <w:lang w:val="en-US"/>
              </w:rPr>
            </w:pPr>
            <w:r>
              <w:rPr>
                <w:rFonts w:eastAsia="Calibri" w:cs=""/>
                <w:kern w:val="0"/>
                <w:sz w:val="22"/>
                <w:szCs w:val="22"/>
                <w:lang w:val="en-US" w:eastAsia="en-US" w:bidi="ar-SA"/>
              </w:rPr>
              <w:t/>
              <w:pict>
                <v:shape type="#_x0000_t75" style="width:10cm;height:10cm" stroked="f">
                  <v:imagedata r:id="rId7" o:title=""/>
                </v:shape>
              </w:pict>
              <w:t/>
            </w:r>
          </w:p>
        </w:tc>
        <w:tc>
          <w:tcPr>
            <w:tcW w:w="4253" w:type="dxa"/>
            <w:tcBorders/>
          </w:tcPr>
          <w:p>
            <w:pPr>
              <w:pStyle w:val="Normal"/>
              <w:widowControl/>
              <w:suppressAutoHyphens w:val="true"/>
              <w:spacing w:lineRule="auto" w:line="240" w:before="0" w:after="0"/>
              <w:jc w:val="center"/>
              <w:rPr>
                <w:b/>
                <w:sz w:val="24"/>
                <w:szCs w:val="24"/>
              </w:rPr>
            </w:pPr>
            <w:r>
              <w:rPr>
                <w:b/>
                <w:sz w:val="24"/>
                <w:szCs w:val="24"/>
              </w:rPr>
            </w:r>
          </w:p>
          <w:p>
            <w:pPr>
              <w:pStyle w:val="Normal"/>
              <w:widowControl/>
              <w:suppressAutoHyphens w:val="true"/>
              <w:spacing w:lineRule="auto" w:line="240" w:before="0" w:after="0"/>
              <w:jc w:val="start"/>
              <w:rPr>
                <w:rFonts w:ascii="Calibri" w:hAnsi="Calibri"/>
                <w:color w:val="000000"/>
                <w:shd w:fill="FFFFFF" w:val="clear"/>
                <w:lang w:val="en-US"/>
              </w:rPr>
            </w:pPr>
            <w:r>
              <w:rPr>
                <w:rFonts w:eastAsia="Calibri" w:cs=""/>
                <w:b/>
                <w:kern w:val="0"/>
                <w:sz w:val="24"/>
                <w:szCs w:val="24"/>
                <w:lang w:val="ru-RU" w:eastAsia="en-US" w:bidi="ar-SA"/>
              </w:rPr>
              <w:t>Описание:</w:t>
              <w:br/>
            </w:r>
            <w:r>
              <w:rPr>
                <w:rFonts w:eastAsia="Calibri" w:cs=""/>
                <w:color w:val="000000"/>
                <w:kern w:val="0"/>
                <w:sz w:val="24"/>
                <w:szCs w:val="24"/>
                <w:shd w:fill="FFFFFF" w:val="clear"/>
                <w:lang w:val="ru-RU" w:eastAsia="en-US" w:bidi="ar-SA"/>
              </w:rPr>
              <w:br/>
            </w:r>
            <w:r>
              <w:rPr>
                <w:rFonts w:eastAsia="Calibri" w:cs=""/>
                <w:color w:val="000000"/>
                <w:kern w:val="0"/>
                <w:sz w:val="22"/>
                <w:szCs w:val="22"/>
                <w:shd w:fill="FFFFFF" w:val="clear"/>
                <w:lang w:val="en-US" w:eastAsia="en-US" w:bidi="ar-SA"/>
              </w:rPr>
              <w:t>Office Kit COMBi профессиональный шредер - дезинтегратор.
Предназначен для переработки макулатуры, документов, книг, банкнот, банковских карт,
удостоверений личности, компакт-дисков и уничтожения данных на картах памяти,
с частицами размером от 2 х 2 мм до 15 х 15 мм и производительностью от 50 до 120 кг/ час.
Оснащен высокоскоростной системой дробления, функцией сбора пыли и интеллектуальной системой управления.
Позволяет выбрать высокий уровень секретности по DIN66399 до P-7 для уничтожения любых конфиденциальных документов.
Особенности:
	Высокая производительность 50-120 кг/час в зависимости от размера частиц.
	Сменный мешок на 400 л.
	Слот подачи шириной 300 мм предназначен для уничтожения больших объемов данных, допускается подача 100 листов формата А4 за раз.
	Уровень секретности определяется диаметром сетки аппарата - DIN66399 P3 – P7.
	Высокопрочная легированная сталь, лезвия H13 устойчивы к разрушению и износу.
	Система фильтрации воздуха, вы можете не беспокоиться о распространении пыли.
</w:t>
            </w:r>
          </w:p>
          <w:p>
            <w:pPr>
              <w:pStyle w:val="Normal"/>
              <w:widowControl/>
              <w:suppressAutoHyphens w:val="true"/>
              <w:spacing w:lineRule="auto" w:line="240" w:before="0" w:after="0"/>
              <w:jc w:val="start"/>
              <w:rPr>
                <w:b/>
                <w:sz w:val="24"/>
                <w:szCs w:val="24"/>
                <w:lang w:val="en-US"/>
              </w:rPr>
            </w:pPr>
            <w:r>
              <w:rPr>
                <w:b/>
                <w:sz w:val="24"/>
                <w:szCs w:val="24"/>
                <w:lang w:val="en-US"/>
              </w:rPr>
            </w:r>
          </w:p>
        </w:tc>
      </w:tr>
    </w:tbl>
    <w:p>
      <w:pPr>
        <w:pStyle w:val="Normal"/>
        <w:rPr>
          <w:rFonts w:ascii="Calibri" w:hAnsi="Calibri"/>
          <w:color w:val="000000"/>
          <w:shd w:fill="FFFFFF" w:val="clear"/>
        </w:rPr>
      </w:pPr>
      <w:r>
        <w:rPr>
          <w:color w:val="000000"/>
          <w:shd w:fill="FFFFFF" w:val="clear"/>
        </w:rPr>
      </w:r>
    </w:p>
    <w:tbl>
      <w:tblPr>
        <w:tblStyle w:val="a9"/>
        <w:tblW w:w="10456" w:type="dxa"/>
        <w:jc w:val="start"/>
        <w:tblInd w:w="0" w:type="dxa"/>
        <w:tblLayout w:type="fixed"/>
        <w:tblCellMar>
          <w:top w:w="0" w:type="dxa"/>
          <w:start w:w="108" w:type="dxa"/>
          <w:bottom w:w="0" w:type="dxa"/>
          <w:end w:w="108" w:type="dxa"/>
        </w:tblCellMar>
        <w:tblLook w:val="04a0" w:firstRow="1" w:noVBand="1" w:lastRow="0" w:firstColumn="1" w:lastColumn="0" w:noHBand="0"/>
      </w:tblPr>
      <w:tblGrid>
        <w:gridCol w:w="5228"/>
        <w:gridCol w:w="5228"/>
      </w:tblGrid>
      <w:tr>
        <w:trPr/>
        <w:tc>
          <w:tcPr>
            <w:tcW w:w="5228" w:type="dxa"/>
            <w:tcBorders/>
          </w:tcPr>
          <w:p>
            <w:pPr>
              <w:pStyle w:val="Normal"/>
              <w:widowControl/>
              <w:suppressAutoHyphens w:val="true"/>
              <w:spacing w:lineRule="auto" w:line="240" w:before="0" w:after="0"/>
              <w:jc w:val="start"/>
              <w:rPr>
                <w:b/>
              </w:rPr>
            </w:pPr>
            <w:r>
              <w:rPr>
                <w:rFonts w:eastAsia="Calibri" w:cs=""/>
                <w:b/>
                <w:kern w:val="0"/>
                <w:sz w:val="22"/>
                <w:szCs w:val="22"/>
                <w:lang w:val="ru-RU" w:eastAsia="en-US" w:bidi="ar-SA"/>
              </w:rPr>
              <w:t>Параметры</w:t>
            </w:r>
          </w:p>
        </w:tc>
        <w:tc>
          <w:tcPr>
            <w:tcW w:w="5228" w:type="dxa"/>
            <w:tcBorders/>
          </w:tcPr>
          <w:p>
            <w:pPr>
              <w:pStyle w:val="Normal"/>
              <w:widowControl/>
              <w:suppressAutoHyphens w:val="true"/>
              <w:spacing w:lineRule="auto" w:line="240" w:before="0" w:after="0"/>
              <w:jc w:val="start"/>
              <w:rPr>
                <w:b/>
              </w:rPr>
            </w:pPr>
            <w:r>
              <w:rPr>
                <w:rFonts w:eastAsia="Calibri" w:cs=""/>
                <w:b/>
                <w:kern w:val="0"/>
                <w:sz w:val="22"/>
                <w:szCs w:val="22"/>
                <w:lang w:val="ru-RU" w:eastAsia="en-US" w:bidi="ar-SA"/>
              </w:rPr>
              <w:t>Значение</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Тип:</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Архивные</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Тип резки:</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Перекрестный</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Размер частицы, мм:</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2х2 мм - 15х15 мм</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Количество уничтожаемых листов 80 г/м:</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80-120 листов формата А4 за раз</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Пропускная способность, кг/час:</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50-120</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Емкость корзины, л:</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400</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Скорость резки, мм/сек.:</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42</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Ширина входа, мм:</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300</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Мощность, Вт:</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7750</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Уровень шума, Дб:</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70</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Защита от перегрева:</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Да</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Ролики для передвижения:</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Да</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Высота, мм:</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1880</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Ширина, мм:</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1900</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Глубина, мм:</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1020</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Вес, кг:</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780</w:t>
            </w:r>
          </w:p>
        </w:tc>
      </w:tr>
    </w:tbl>
    <w:p>
      <w:pPr>
        <w:pStyle w:val="Normal"/>
        <w:rPr>
          <w:rFonts w:ascii="Calibri" w:hAnsi="Calibri"/>
          <w:color w:val="000000"/>
          <w:shd w:fill="FFFFFF" w:val="clear"/>
        </w:rPr>
      </w:pPr>
      <w:r>
        <w:rPr>
          <w:color w:val="000000"/>
          <w:shd w:fill="FFFFFF" w:val="clear"/>
        </w:rPr>
      </w:r>
    </w:p>
    <w:p>
      <w:pPr>
        <w:pStyle w:val="Normal"/>
        <w:rPr>
          <w:bCs/>
          <w:sz w:val="24"/>
          <w:szCs w:val="24"/>
        </w:rPr>
      </w:pPr>
      <w:r>
        <w:rPr>
          <w:bCs/>
          <w:sz w:val="24"/>
          <w:szCs w:val="24"/>
        </w:rPr>
        <w:t xml:space="preserve">Фактические параметры товара могут  отличаться от заявленного производителем в технической документации как в большую, так и в меньшую сторону в пределах допустимой погрешности не более 10%. </w:t>
      </w:r>
    </w:p>
    <w:p>
      <w:pPr>
        <w:pStyle w:val="Normal"/>
        <w:rPr>
          <w:bCs/>
          <w:sz w:val="24"/>
          <w:szCs w:val="24"/>
        </w:rPr>
      </w:pPr>
      <w:r>
        <w:rPr>
          <w:bCs/>
          <w:sz w:val="24"/>
          <w:szCs w:val="24"/>
        </w:rPr>
        <w:t>Это в равной степени относится как к размеру частиц, так и к уровню шума, скорости и количеству уничтожаемых  листов. Данная погрешность является технологической нормой и не считается дефектом.</w:t>
      </w:r>
    </w:p>
    <w:p>
      <w:pPr>
        <w:pStyle w:val="Normal"/>
        <w:rPr>
          <w:bCs/>
          <w:sz w:val="24"/>
          <w:szCs w:val="24"/>
        </w:rPr>
      </w:pPr>
      <w:r>
        <w:rPr>
          <w:bCs/>
          <w:sz w:val="24"/>
          <w:szCs w:val="24"/>
        </w:rPr>
        <w:t>На изменение параметров может оказывать влияние плотность уничтожаемой бумаги и фактическое напряжение в сети.</w:t>
      </w:r>
    </w:p>
    <w:p>
      <w:pPr>
        <w:pStyle w:val="Normal"/>
        <w:rPr>
          <w:bCs/>
          <w:sz w:val="24"/>
          <w:szCs w:val="24"/>
        </w:rPr>
      </w:pPr>
      <w:r>
        <w:rPr>
          <w:bCs/>
          <w:sz w:val="24"/>
          <w:szCs w:val="24"/>
        </w:rPr>
      </w:r>
    </w:p>
    <w:p>
      <w:pPr>
        <w:pStyle w:val="Normal"/>
        <w:rPr>
          <w:bCs/>
          <w:sz w:val="24"/>
          <w:szCs w:val="24"/>
        </w:rPr>
      </w:pPr>
      <w:r>
        <w:rPr>
          <w:bCs/>
          <w:sz w:val="24"/>
          <w:szCs w:val="24"/>
        </w:rPr>
      </w:r>
    </w:p>
    <w:p>
      <w:pPr>
        <w:pStyle w:val="Normal"/>
        <w:rPr>
          <w:b/>
          <w:sz w:val="28"/>
          <w:szCs w:val="28"/>
        </w:rPr>
      </w:pPr>
      <w:r>
        <w:rPr>
          <w:b/>
          <w:sz w:val="28"/>
          <w:szCs w:val="28"/>
        </w:rPr>
        <w:t>Цена: 3 527 890 руб. 08 коп.</w:t>
        <w:br/>
      </w:r>
    </w:p>
    <w:p>
      <w:pPr>
        <w:pStyle w:val="Normal"/>
        <w:rPr/>
      </w:pPr>
      <w:r>
        <w:rPr/>
        <w:t>Гарантия:</w:t>
      </w:r>
    </w:p>
    <w:p>
      <w:pPr>
        <w:pStyle w:val="Normal"/>
        <w:rPr/>
      </w:pPr>
      <w:r>
        <w:rPr/>
        <w:t>Сроки поставки товара:</w:t>
      </w:r>
    </w:p>
    <w:p>
      <w:pPr>
        <w:pStyle w:val="Normal"/>
        <w:rPr/>
      </w:pPr>
      <w:r>
        <w:rPr/>
        <w:t>Срок действия ценового предложения:</w:t>
      </w:r>
    </w:p>
    <w:p>
      <w:pPr>
        <w:pStyle w:val="Normal"/>
        <w:rPr/>
      </w:pPr>
      <w:r>
        <w:rPr/>
      </w:r>
    </w:p>
    <w:p>
      <w:pPr>
        <w:pStyle w:val="Normal"/>
        <w:rPr>
          <w:b/>
          <w:sz w:val="28"/>
          <w:szCs w:val="28"/>
        </w:rPr>
      </w:pPr>
      <w:r>
        <w:rPr>
          <w:b/>
          <w:sz w:val="28"/>
          <w:szCs w:val="28"/>
        </w:rPr>
      </w:r>
    </w:p>
    <w:p>
      <w:pPr>
        <w:pStyle w:val="Normal"/>
        <w:rPr>
          <w:b/>
          <w:sz w:val="28"/>
          <w:szCs w:val="28"/>
        </w:rPr>
      </w:pPr>
      <w:r>
        <w:rPr>
          <w:b/>
          <w:sz w:val="28"/>
          <w:szCs w:val="28"/>
        </w:rPr>
      </w:r>
    </w:p>
    <w:p>
      <w:pPr>
        <w:pStyle w:val="Normal"/>
        <w:rPr>
          <w:b/>
          <w:sz w:val="28"/>
          <w:szCs w:val="28"/>
        </w:rPr>
      </w:pPr>
      <w:r>
        <w:rPr>
          <w:b/>
          <w:sz w:val="28"/>
          <w:szCs w:val="28"/>
        </w:rPr>
      </w:r>
    </w:p>
    <w:p>
      <w:pPr>
        <w:pStyle w:val="Normal"/>
        <w:rPr>
          <w:b/>
          <w:sz w:val="28"/>
          <w:szCs w:val="28"/>
        </w:rPr>
      </w:pPr>
      <w:r>
        <w:rPr>
          <w:b/>
          <w:sz w:val="28"/>
          <w:szCs w:val="28"/>
        </w:rPr>
      </w:r>
    </w:p>
    <w:p>
      <w:pPr>
        <w:pStyle w:val="Normal"/>
        <w:widowControl/>
        <w:bidi w:val="0"/>
        <w:spacing w:lineRule="auto" w:line="259" w:before="0" w:after="160"/>
        <w:jc w:val="start"/>
        <w:rPr/>
      </w:pPr>
      <w:r>
        <w:rPr/>
        <w:t>Генеральный директор                                                                  Миронов Б.Б.</w:t>
      </w:r>
    </w:p>
    <w:sectPr>
      <w:type w:val="nextPage"/>
      <w:pgSz w:w="11906" w:h="16838"/>
      <w:pgMar w:left="720" w:right="720" w:gutter="0" w:header="0" w:top="720" w:footer="0" w:bottom="72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characterSet="windows-1252"/>
    <w:family w:val="roman"/>
    <w:pitch w:val="variable"/>
  </w:font>
  <w:font w:name="Symbol">
    <w:charset w:val="02"/>
    <w:family w:val="roman"/>
    <w:pitch w:val="variable"/>
  </w:font>
  <w:font w:name="Arial">
    <w:charset w:val="00" w:characterSet="windows-1252"/>
    <w:family w:val="swiss"/>
    <w:pitch w:val="variable"/>
  </w:font>
  <w:font w:name="Liberation Serif">
    <w:altName w:val="Times New Roman"/>
    <w:charset w:val="cc" w:characterSet="windows-1251"/>
    <w:family w:val="roman"/>
    <w:pitch w:val="variable"/>
  </w:font>
  <w:font w:name="Calibri">
    <w:charset w:val="cc" w:characterSet="windows-1251"/>
    <w:family w:val="roman"/>
    <w:pitch w:val="variable"/>
  </w:font>
  <w:font w:name="Arial">
    <w:charset w:val="cc" w:characterSet="windows-1251"/>
    <w:family w:val="swiss"/>
    <w:pitch w:val="variable"/>
  </w:font>
  <w:font w:name="Segoe UI">
    <w:charset w:val="cc" w:characterSet="windows-1251"/>
    <w:family w:val="swiss"/>
    <w:pitch w:val="variable"/>
  </w:font>
  <w:font w:name="Liberation Sans">
    <w:altName w:val="Arial"/>
    <w:charset w:val="cc" w:characterSet="windows-1251"/>
    <w:family w:val="swiss"/>
    <w:pitch w:val="variable"/>
  </w:font>
  <w:font w:name="Times New Roman">
    <w:charset w:val="cc" w:characterSet="windows-1251"/>
    <w:family w:val="roman"/>
    <w:pitch w:val="variable"/>
  </w:font>
</w:fonts>
</file>

<file path=word/settings.xml><?xml version="1.0" encoding="utf-8"?>
<w:settings xmlns:w="http://schemas.openxmlformats.org/wordprocessingml/2006/main">
  <w:zoom w:percent="100"/>
  <w:defaultTabStop w:val="708"/>
  <w:autoHyphenation w:val="true"/>
  <w:hyphenationZone w:val="0"/>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ru-RU" w:eastAsia="en-US" w:bidi="ar-SA"/>
      </w:rPr>
    </w:rPrDefault>
    <w:pPrDefault>
      <w:pPr>
        <w:suppressAutoHyphens w:val="true"/>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uiPriority="0"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pPr>
      <w:widowControl/>
      <w:suppressAutoHyphens w:val="true"/>
      <w:bidi w:val="0"/>
      <w:spacing w:lineRule="auto" w:line="259" w:before="0" w:after="160"/>
      <w:jc w:val="start"/>
    </w:pPr>
    <w:rPr>
      <w:rFonts w:ascii="Calibri" w:hAnsi="Calibri" w:eastAsia="Calibri" w:cs="" w:asciiTheme="minorHAnsi" w:cstheme="minorBidi" w:eastAsiaTheme="minorHAnsi" w:hAnsiTheme="minorHAnsi"/>
      <w:color w:val="auto"/>
      <w:kern w:val="0"/>
      <w:sz w:val="22"/>
      <w:szCs w:val="22"/>
      <w:lang w:val="ru-RU" w:eastAsia="en-US" w:bidi="ar-SA"/>
    </w:rPr>
  </w:style>
  <w:style w:type="character" w:styleId="DefaultParagraphFont" w:default="1">
    <w:name w:val="Default Paragraph Font"/>
    <w:uiPriority w:val="1"/>
    <w:semiHidden/>
    <w:unhideWhenUsed/>
    <w:qFormat/>
    <w:rPr/>
  </w:style>
  <w:style w:type="character" w:styleId="Hyperlink">
    <w:name w:val="Hyperlink"/>
    <w:basedOn w:val="DefaultParagraphFont"/>
    <w:rsid w:val="00387e4f"/>
    <w:rPr>
      <w:strike w:val="false"/>
      <w:dstrike w:val="false"/>
      <w:color w:val="000093"/>
      <w:u w:val="none"/>
      <w:effect w:val="none"/>
    </w:rPr>
  </w:style>
  <w:style w:type="character" w:styleId="Style14" w:customStyle="1">
    <w:name w:val="Верхний колонтитул Знак"/>
    <w:basedOn w:val="DefaultParagraphFont"/>
    <w:qFormat/>
    <w:rsid w:val="00387e4f"/>
    <w:rPr>
      <w:rFonts w:ascii="Arial" w:hAnsi="Arial" w:eastAsia="Times New Roman" w:cs="Times New Roman"/>
      <w:sz w:val="20"/>
      <w:szCs w:val="20"/>
      <w:lang w:eastAsia="ru-RU"/>
    </w:rPr>
  </w:style>
  <w:style w:type="character" w:styleId="Strong">
    <w:name w:val="Strong"/>
    <w:basedOn w:val="DefaultParagraphFont"/>
    <w:uiPriority w:val="22"/>
    <w:qFormat/>
    <w:rsid w:val="00652d1c"/>
    <w:rPr>
      <w:b/>
      <w:bCs/>
    </w:rPr>
  </w:style>
  <w:style w:type="character" w:styleId="proptitle" w:customStyle="1">
    <w:name w:val="prop_title"/>
    <w:basedOn w:val="DefaultParagraphFont"/>
    <w:qFormat/>
    <w:rsid w:val="00394ca3"/>
    <w:rPr/>
  </w:style>
  <w:style w:type="character" w:styleId="propval" w:customStyle="1">
    <w:name w:val="prop_val"/>
    <w:basedOn w:val="DefaultParagraphFont"/>
    <w:qFormat/>
    <w:rsid w:val="00394ca3"/>
    <w:rPr/>
  </w:style>
  <w:style w:type="character" w:styleId="Style15" w:customStyle="1">
    <w:name w:val="Текст выноски Знак"/>
    <w:basedOn w:val="DefaultParagraphFont"/>
    <w:link w:val="BalloonText"/>
    <w:uiPriority w:val="99"/>
    <w:semiHidden/>
    <w:qFormat/>
    <w:rsid w:val="00d81170"/>
    <w:rPr>
      <w:rFonts w:ascii="Segoe UI" w:hAnsi="Segoe UI" w:cs="Segoe UI"/>
      <w:sz w:val="18"/>
      <w:szCs w:val="18"/>
    </w:rPr>
  </w:style>
  <w:style w:type="paragraph" w:styleId="Style16">
    <w:name w:val="Заголовок"/>
    <w:basedOn w:val="Normal"/>
    <w:next w:val="BodyText"/>
    <w:qFormat/>
    <w:pPr>
      <w:keepNext w:val="true"/>
      <w:spacing w:before="240" w:after="120"/>
    </w:pPr>
    <w:rPr>
      <w:rFonts w:ascii="Liberation Sans" w:hAnsi="Liberation Sans" w:eastAsia="Microsoft YaHei" w:cs="Arial"/>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Arial"/>
    </w:rPr>
  </w:style>
  <w:style w:type="paragraph" w:styleId="Caption">
    <w:name w:val="caption"/>
    <w:basedOn w:val="Normal"/>
    <w:qFormat/>
    <w:pPr>
      <w:suppressLineNumbers/>
      <w:spacing w:before="120" w:after="120"/>
    </w:pPr>
    <w:rPr>
      <w:rFonts w:cs="Arial"/>
      <w:i/>
      <w:iCs/>
      <w:sz w:val="24"/>
      <w:szCs w:val="24"/>
    </w:rPr>
  </w:style>
  <w:style w:type="paragraph" w:styleId="Style17">
    <w:name w:val="Указатель"/>
    <w:basedOn w:val="Normal"/>
    <w:qFormat/>
    <w:pPr>
      <w:suppressLineNumbers/>
    </w:pPr>
    <w:rPr>
      <w:rFonts w:cs="Arial"/>
    </w:rPr>
  </w:style>
  <w:style w:type="paragraph" w:styleId="user">
    <w:name w:val="Заголовок (user)"/>
    <w:basedOn w:val="Normal"/>
    <w:next w:val="BodyText"/>
    <w:qFormat/>
    <w:pPr>
      <w:keepNext w:val="true"/>
      <w:spacing w:before="240" w:after="120"/>
    </w:pPr>
    <w:rPr>
      <w:rFonts w:ascii="Liberation Sans" w:hAnsi="Liberation Sans" w:eastAsia="Microsoft YaHei" w:cs="Arial"/>
      <w:sz w:val="28"/>
      <w:szCs w:val="28"/>
    </w:rPr>
  </w:style>
  <w:style w:type="paragraph" w:styleId="user1">
    <w:name w:val="Указатель (user)"/>
    <w:basedOn w:val="Normal"/>
    <w:qFormat/>
    <w:pPr>
      <w:suppressLineNumbers/>
    </w:pPr>
    <w:rPr>
      <w:rFonts w:cs="Arial"/>
    </w:rPr>
  </w:style>
  <w:style w:type="paragraph" w:styleId="NormalWeb">
    <w:name w:val="Normal (Web)"/>
    <w:basedOn w:val="Normal"/>
    <w:uiPriority w:val="99"/>
    <w:semiHidden/>
    <w:unhideWhenUsed/>
    <w:qFormat/>
    <w:rsid w:val="00534d53"/>
    <w:pPr>
      <w:spacing w:lineRule="auto" w:line="240" w:beforeAutospacing="1" w:afterAutospacing="1"/>
    </w:pPr>
    <w:rPr>
      <w:rFonts w:ascii="Times New Roman" w:hAnsi="Times New Roman" w:eastAsia="Times New Roman" w:cs="Times New Roman"/>
      <w:sz w:val="24"/>
      <w:szCs w:val="24"/>
      <w:lang w:eastAsia="ru-RU"/>
    </w:rPr>
  </w:style>
  <w:style w:type="paragraph" w:styleId="user2">
    <w:name w:val="Колонтитулы (user)"/>
    <w:basedOn w:val="Normal"/>
    <w:qFormat/>
    <w:pPr/>
    <w:rPr/>
  </w:style>
  <w:style w:type="paragraph" w:styleId="Style18">
    <w:name w:val="Колонтитулы"/>
    <w:basedOn w:val="Normal"/>
    <w:qFormat/>
    <w:pPr/>
    <w:rPr/>
  </w:style>
  <w:style w:type="paragraph" w:styleId="Header">
    <w:name w:val="header"/>
    <w:basedOn w:val="Normal"/>
    <w:link w:val="Style14"/>
    <w:rsid w:val="00387e4f"/>
    <w:pPr>
      <w:tabs>
        <w:tab w:val="clear" w:pos="708"/>
        <w:tab w:val="center" w:pos="4153" w:leader="none"/>
        <w:tab w:val="right" w:pos="8306" w:leader="none"/>
      </w:tabs>
      <w:spacing w:lineRule="auto" w:line="240" w:before="0" w:after="0"/>
    </w:pPr>
    <w:rPr>
      <w:rFonts w:ascii="Arial" w:hAnsi="Arial" w:eastAsia="Times New Roman" w:cs="Times New Roman"/>
      <w:sz w:val="20"/>
      <w:szCs w:val="20"/>
      <w:lang w:eastAsia="ru-RU"/>
    </w:rPr>
  </w:style>
  <w:style w:type="paragraph" w:styleId="ListParagraph">
    <w:name w:val="List Paragraph"/>
    <w:basedOn w:val="Normal"/>
    <w:uiPriority w:val="34"/>
    <w:qFormat/>
    <w:rsid w:val="00877b1c"/>
    <w:pPr>
      <w:spacing w:before="0" w:after="160"/>
      <w:ind w:start="720"/>
      <w:contextualSpacing/>
    </w:pPr>
    <w:rPr/>
  </w:style>
  <w:style w:type="paragraph" w:styleId="BalloonText">
    <w:name w:val="Balloon Text"/>
    <w:basedOn w:val="Normal"/>
    <w:link w:val="Style15"/>
    <w:uiPriority w:val="99"/>
    <w:semiHidden/>
    <w:unhideWhenUsed/>
    <w:qFormat/>
    <w:rsid w:val="00d81170"/>
    <w:pPr>
      <w:spacing w:lineRule="auto" w:line="240" w:before="0" w:after="0"/>
    </w:pPr>
    <w:rPr>
      <w:rFonts w:ascii="Segoe UI" w:hAnsi="Segoe UI" w:cs="Segoe UI"/>
      <w:sz w:val="18"/>
      <w:szCs w:val="18"/>
    </w:rPr>
  </w:style>
  <w:style w:type="numbering" w:styleId="user3" w:default="1">
    <w:name w:val="Без списка (user)"/>
    <w:uiPriority w:val="99"/>
    <w:semiHidden/>
    <w:unhideWhenUsed/>
    <w:qFormat/>
  </w:style>
  <w:style w:type="table" w:default="1" w:styleId="a1">
    <w:name w:val="Normal Table"/>
    <w:uiPriority w:val="99"/>
    <w:semiHidden/>
    <w:unhideWhenUsed/>
    <w:tblPr>
      <w:tblCellMar>
        <w:top w:w="0" w:type="dxa"/>
        <w:left w:w="108" w:type="dxa"/>
        <w:bottom w:w="0" w:type="dxa"/>
        <w:right w:w="108" w:type="dxa"/>
      </w:tblCellMar>
    </w:tblPr>
  </w:style>
  <w:style w:type="table" w:styleId="a9">
    <w:name w:val="Table Grid"/>
    <w:basedOn w:val="a1"/>
    <w:uiPriority w:val="39"/>
    <w:rsid w:val="00394ca3"/>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Relationship Id="rId6" Type="http://schemas.openxmlformats.org/officeDocument/2006/relationships/customXml" Target="../customXml/item1.xml"/>
<Relationship Id="rId7" Type="http://schemas.openxmlformats.org/officeDocument/2006/relationships/image" Target="media/image_rId7_document.jpeg"/></Relationships>
</file>

<file path=word/theme/theme1.xml><?xml version="1.0" encoding="utf-8"?>
<a:theme xmlns:a="http://schemas.openxmlformats.org/drawingml/2006/main" xmlns:r="http://schemas.openxmlformats.org/officeDocument/2006/relationships" name="Тема Office">
  <a:themeElements>
    <a:clrScheme name="Стандартная">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pitchFamily="0" charset="1"/>
        <a:ea typeface=""/>
        <a:cs typeface=""/>
      </a:majorFont>
      <a:minorFont>
        <a:latin typeface="Calibri" panose="020F0502020204030204" pitchFamily="0" charset="1"/>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l="0" t="0" r="0" b="0"/>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l="0" t="0" r="0" b="0"/>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l="0" t="0" r="0" b="0"/>
        </a:gradFill>
      </a:bgFillStyleLst>
    </a:fmtScheme>
  </a:themeElements>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F5E166-CF05-479B-A887-4EFF304D7E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1702</TotalTime>
  <Application>LibreOffice/26.2.5.2$Windows_X86_64 LibreOffice_project/cd7284b4cbbfeb507e630c1aac019f4157393acb</Application>
  <AppVersion>15.0000</AppVersion>
  <Pages>2</Pages>
  <Words>95</Words>
  <Characters>649</Characters>
  <CharactersWithSpaces>800</CharactersWithSpaces>
  <Paragraphs>20</Paragraphs>
  <Company>qwe</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2021-03-23T13:54:00Z</dcterms:created>
  <dc:creator>Сухова Лариса</dc:creator>
  <dc:description/>
  <dc:language>en-US</dc:language>
  <cp:lastModifiedBy/>
  <cp:lastPrinted>2019-09-26T08:33:00Z</cp:lastPrinted>
  <dcterms:modified xsi:type="dcterms:W3CDTF">2026-08-25T14:45:41Z</dcterms:modified>
  <cp:revision>14</cp:revision>
  <dc:subject/>
  <dc:title/>
</cp:coreProperties>
</file>

<file path=docProps/custom.xml><?xml version="1.0" encoding="utf-8"?>
<Properties xmlns="http://schemas.openxmlformats.org/officeDocument/2006/custom-properties" xmlns:vt="http://schemas.openxmlformats.org/officeDocument/2006/docPropsVTypes"/>
</file>